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30A" w:rsidRPr="00AE130A" w:rsidRDefault="00AE130A" w:rsidP="00AE130A">
      <w:pPr>
        <w:widowControl w:val="0"/>
        <w:autoSpaceDE w:val="0"/>
        <w:autoSpaceDN w:val="0"/>
        <w:adjustRightInd w:val="0"/>
        <w:spacing w:line="360" w:lineRule="auto"/>
        <w:rPr>
          <w:rFonts w:ascii="Arial" w:hAnsi="Arial" w:cs="Arial"/>
          <w:color w:val="181818"/>
          <w:sz w:val="28"/>
          <w:szCs w:val="28"/>
        </w:rPr>
      </w:pPr>
      <w:r w:rsidRPr="00AE130A">
        <w:rPr>
          <w:rFonts w:ascii="Arial" w:hAnsi="Arial" w:cs="Arial"/>
          <w:b/>
          <w:bCs/>
          <w:i/>
          <w:iCs/>
          <w:color w:val="181818"/>
          <w:sz w:val="28"/>
          <w:szCs w:val="28"/>
        </w:rPr>
        <w:t>Noi tutti siamo già… seduti sul Sasso…, come solitamente facevano gli artisti impegnati</w:t>
      </w:r>
      <w:r w:rsidRPr="00AE130A">
        <w:rPr>
          <w:rFonts w:ascii="Arial" w:hAnsi="Arial" w:cs="Arial"/>
          <w:color w:val="181818"/>
          <w:sz w:val="28"/>
          <w:szCs w:val="28"/>
        </w:rPr>
        <w:t xml:space="preserve"> </w:t>
      </w:r>
      <w:r w:rsidRPr="00AE130A">
        <w:rPr>
          <w:rFonts w:ascii="Arial" w:hAnsi="Arial" w:cs="Arial"/>
          <w:b/>
          <w:bCs/>
          <w:i/>
          <w:iCs/>
          <w:color w:val="181818"/>
          <w:sz w:val="28"/>
          <w:szCs w:val="28"/>
        </w:rPr>
        <w:t>alla restituzione grafica dei luoghi prescelti… e non ci resta che, incantati, contemplare!</w:t>
      </w:r>
    </w:p>
    <w:p w:rsidR="00AE130A" w:rsidRPr="00AE130A" w:rsidRDefault="00AE130A" w:rsidP="00AE130A">
      <w:pPr>
        <w:widowControl w:val="0"/>
        <w:autoSpaceDE w:val="0"/>
        <w:autoSpaceDN w:val="0"/>
        <w:adjustRightInd w:val="0"/>
        <w:spacing w:line="360" w:lineRule="auto"/>
        <w:rPr>
          <w:rFonts w:ascii="Arial" w:hAnsi="Arial" w:cs="Arial"/>
          <w:color w:val="181818"/>
          <w:sz w:val="28"/>
          <w:szCs w:val="28"/>
        </w:rPr>
      </w:pPr>
      <w:r w:rsidRPr="00AE130A">
        <w:rPr>
          <w:rFonts w:ascii="Arial" w:hAnsi="Arial" w:cs="Arial"/>
          <w:color w:val="181818"/>
          <w:sz w:val="28"/>
          <w:szCs w:val="28"/>
        </w:rPr>
        <w:t>In occasione della celebrazione della prima Gio</w:t>
      </w:r>
      <w:bookmarkStart w:id="0" w:name="_GoBack"/>
      <w:bookmarkEnd w:id="0"/>
      <w:r w:rsidRPr="00AE130A">
        <w:rPr>
          <w:rFonts w:ascii="Arial" w:hAnsi="Arial" w:cs="Arial"/>
          <w:color w:val="181818"/>
          <w:sz w:val="28"/>
          <w:szCs w:val="28"/>
        </w:rPr>
        <w:t xml:space="preserve">rnata nazionale del Paesaggio, istituita nello spirito della </w:t>
      </w:r>
      <w:r w:rsidRPr="00AE130A">
        <w:rPr>
          <w:rFonts w:ascii="Arial" w:hAnsi="Arial" w:cs="Arial"/>
          <w:b/>
          <w:bCs/>
          <w:color w:val="181818"/>
          <w:sz w:val="28"/>
          <w:szCs w:val="28"/>
        </w:rPr>
        <w:t>Convenzione europea del Paesaggio</w:t>
      </w:r>
      <w:r w:rsidRPr="00AE130A">
        <w:rPr>
          <w:rFonts w:ascii="Arial" w:hAnsi="Arial" w:cs="Arial"/>
          <w:color w:val="181818"/>
          <w:sz w:val="28"/>
          <w:szCs w:val="28"/>
        </w:rPr>
        <w:t xml:space="preserve">, l’Istituto centrale per la grafica di Roma presenta la mostra </w:t>
      </w:r>
      <w:r w:rsidRPr="00AE130A">
        <w:rPr>
          <w:rFonts w:ascii="Arial" w:hAnsi="Arial" w:cs="Arial"/>
          <w:b/>
          <w:bCs/>
          <w:color w:val="181818"/>
          <w:sz w:val="28"/>
          <w:szCs w:val="28"/>
        </w:rPr>
        <w:t>in a landscape</w:t>
      </w:r>
      <w:r w:rsidRPr="00AE130A">
        <w:rPr>
          <w:rFonts w:ascii="Arial" w:hAnsi="Arial" w:cs="Arial"/>
          <w:color w:val="181818"/>
          <w:sz w:val="28"/>
          <w:szCs w:val="28"/>
        </w:rPr>
        <w:t xml:space="preserve">; con il contributo delle fotografie di </w:t>
      </w:r>
      <w:r w:rsidRPr="00AE130A">
        <w:rPr>
          <w:rFonts w:ascii="Arial" w:hAnsi="Arial" w:cs="Arial"/>
          <w:b/>
          <w:bCs/>
          <w:color w:val="181818"/>
          <w:sz w:val="28"/>
          <w:szCs w:val="28"/>
        </w:rPr>
        <w:t>Karmen Corak</w:t>
      </w:r>
      <w:r w:rsidRPr="00AE130A">
        <w:rPr>
          <w:rFonts w:ascii="Arial" w:hAnsi="Arial" w:cs="Arial"/>
          <w:color w:val="181818"/>
          <w:sz w:val="28"/>
          <w:szCs w:val="28"/>
        </w:rPr>
        <w:t xml:space="preserve">, stampate su carta giapponese washi, fatte a mano dal maestro Masao Seki nell’isola di Shikoku, e le opere su carta e un grande olio su tela di </w:t>
      </w:r>
      <w:r w:rsidRPr="00AE130A">
        <w:rPr>
          <w:rFonts w:ascii="Arial" w:hAnsi="Arial" w:cs="Arial"/>
          <w:b/>
          <w:bCs/>
          <w:color w:val="181818"/>
          <w:sz w:val="28"/>
          <w:szCs w:val="28"/>
        </w:rPr>
        <w:t>Pierluigi Isola</w:t>
      </w:r>
      <w:r w:rsidRPr="00AE130A">
        <w:rPr>
          <w:rFonts w:ascii="Arial" w:hAnsi="Arial" w:cs="Arial"/>
          <w:color w:val="181818"/>
          <w:sz w:val="28"/>
          <w:szCs w:val="28"/>
        </w:rPr>
        <w:t>, dialoganti con alcuni disegni antichi selezionati dalle collezioni storiche dell’Istituto. Più di quaranta le opere esposte nelle sale al piano terra di Palazzo Poli, da martedì 14 marzo fino al 17 aprile.</w:t>
      </w:r>
    </w:p>
    <w:p w:rsidR="00AE130A" w:rsidRPr="00AE130A" w:rsidRDefault="00AE130A" w:rsidP="00AE130A">
      <w:pPr>
        <w:widowControl w:val="0"/>
        <w:autoSpaceDE w:val="0"/>
        <w:autoSpaceDN w:val="0"/>
        <w:adjustRightInd w:val="0"/>
        <w:spacing w:line="360" w:lineRule="auto"/>
        <w:rPr>
          <w:rFonts w:ascii="Arial" w:hAnsi="Arial" w:cs="Arial"/>
          <w:color w:val="181818"/>
          <w:sz w:val="28"/>
          <w:szCs w:val="28"/>
        </w:rPr>
      </w:pPr>
      <w:r w:rsidRPr="00AE130A">
        <w:rPr>
          <w:rFonts w:ascii="Arial" w:hAnsi="Arial" w:cs="Arial"/>
          <w:color w:val="181818"/>
          <w:sz w:val="28"/>
          <w:szCs w:val="28"/>
        </w:rPr>
        <w:t>Si tratta in realtà di una celebrazione che vuole essere innanzitutto un incontro tra chi ama il paesaggio e le molteplici interpretazioni che nel tempo ci hanno donato artisti di tutte le nazionalità e culture.</w:t>
      </w:r>
    </w:p>
    <w:p w:rsidR="00AE130A" w:rsidRPr="00AE130A" w:rsidRDefault="00AE130A" w:rsidP="00AE130A">
      <w:pPr>
        <w:widowControl w:val="0"/>
        <w:autoSpaceDE w:val="0"/>
        <w:autoSpaceDN w:val="0"/>
        <w:adjustRightInd w:val="0"/>
        <w:spacing w:line="360" w:lineRule="auto"/>
        <w:rPr>
          <w:rFonts w:ascii="Arial" w:hAnsi="Arial" w:cs="Arial"/>
          <w:color w:val="181818"/>
          <w:sz w:val="28"/>
          <w:szCs w:val="28"/>
        </w:rPr>
      </w:pPr>
      <w:r w:rsidRPr="00AE130A">
        <w:rPr>
          <w:rFonts w:ascii="Arial" w:hAnsi="Arial" w:cs="Arial"/>
          <w:color w:val="181818"/>
          <w:sz w:val="28"/>
          <w:szCs w:val="28"/>
        </w:rPr>
        <w:t xml:space="preserve">La pittura di paesaggio è stata considerata da sempre negli ambienti accademici un genere minore. “…Il fatto è che, in contatto con la natura, risulta oltremodo difficile scimmiottare i sentimenti; il pregiudizio perciò maschera l’incapacità. Al contrario, non v’è pittore (artista) impegnato che non si cimenti con la rappresentazione di uno spettacolo naturale. Proprio attraverso i paesaggi si possono meglio osservare le trasformazioni a cui viene sottoposto il linguaggio pittorico ed il mutamento dei moduli della rappresentazione”. (Nello Ponente, </w:t>
      </w:r>
      <w:r w:rsidRPr="00AE130A">
        <w:rPr>
          <w:rFonts w:ascii="Arial" w:hAnsi="Arial" w:cs="Arial"/>
          <w:i/>
          <w:iCs/>
          <w:color w:val="181818"/>
          <w:sz w:val="28"/>
          <w:szCs w:val="28"/>
        </w:rPr>
        <w:t>Le strutture del mondo moderno 1850-1900</w:t>
      </w:r>
      <w:r w:rsidRPr="00AE130A">
        <w:rPr>
          <w:rFonts w:ascii="Arial" w:hAnsi="Arial" w:cs="Arial"/>
          <w:color w:val="181818"/>
          <w:sz w:val="28"/>
          <w:szCs w:val="28"/>
        </w:rPr>
        <w:t>, Ginevra 1965).</w:t>
      </w:r>
    </w:p>
    <w:p w:rsidR="00AE130A" w:rsidRPr="00AE130A" w:rsidRDefault="00AE130A" w:rsidP="00AE130A">
      <w:pPr>
        <w:widowControl w:val="0"/>
        <w:autoSpaceDE w:val="0"/>
        <w:autoSpaceDN w:val="0"/>
        <w:adjustRightInd w:val="0"/>
        <w:spacing w:line="360" w:lineRule="auto"/>
        <w:rPr>
          <w:rFonts w:ascii="Arial" w:hAnsi="Arial" w:cs="Arial"/>
          <w:color w:val="181818"/>
          <w:sz w:val="28"/>
          <w:szCs w:val="28"/>
        </w:rPr>
      </w:pPr>
      <w:r w:rsidRPr="00AE130A">
        <w:rPr>
          <w:rFonts w:ascii="Arial" w:hAnsi="Arial" w:cs="Arial"/>
          <w:color w:val="181818"/>
          <w:sz w:val="28"/>
          <w:szCs w:val="28"/>
        </w:rPr>
        <w:t xml:space="preserve">In questa particolare occasione, celebrativa di un aspetto così importante della nostra storia, vogliamo porre in dialogo una decina di nostri disegni di vari autori presenti in collezione, fra cui ricordiamo: </w:t>
      </w:r>
      <w:r w:rsidRPr="00AE130A">
        <w:rPr>
          <w:rFonts w:ascii="Arial" w:hAnsi="Arial" w:cs="Arial"/>
          <w:b/>
          <w:bCs/>
          <w:color w:val="181818"/>
          <w:sz w:val="28"/>
          <w:szCs w:val="28"/>
        </w:rPr>
        <w:t>Giovanni Francesco Grimaldi</w:t>
      </w:r>
      <w:r w:rsidRPr="00AE130A">
        <w:rPr>
          <w:rFonts w:ascii="Arial" w:hAnsi="Arial" w:cs="Arial"/>
          <w:color w:val="181818"/>
          <w:sz w:val="28"/>
          <w:szCs w:val="28"/>
        </w:rPr>
        <w:t xml:space="preserve"> (1606-1680), </w:t>
      </w:r>
      <w:r w:rsidRPr="00AE130A">
        <w:rPr>
          <w:rFonts w:ascii="Arial" w:hAnsi="Arial" w:cs="Arial"/>
          <w:b/>
          <w:bCs/>
          <w:color w:val="181818"/>
          <w:sz w:val="28"/>
          <w:szCs w:val="28"/>
        </w:rPr>
        <w:t>Jan Asselijn</w:t>
      </w:r>
      <w:r w:rsidRPr="00AE130A">
        <w:rPr>
          <w:rFonts w:ascii="Arial" w:hAnsi="Arial" w:cs="Arial"/>
          <w:color w:val="181818"/>
          <w:sz w:val="28"/>
          <w:szCs w:val="28"/>
        </w:rPr>
        <w:t xml:space="preserve"> (1610-1652), </w:t>
      </w:r>
      <w:r w:rsidRPr="00AE130A">
        <w:rPr>
          <w:rFonts w:ascii="Arial" w:hAnsi="Arial" w:cs="Arial"/>
          <w:b/>
          <w:bCs/>
          <w:color w:val="181818"/>
          <w:sz w:val="28"/>
          <w:szCs w:val="28"/>
        </w:rPr>
        <w:t>Claude</w:t>
      </w:r>
      <w:r w:rsidRPr="00AE130A">
        <w:rPr>
          <w:rFonts w:ascii="Arial" w:hAnsi="Arial" w:cs="Arial"/>
          <w:color w:val="181818"/>
          <w:sz w:val="28"/>
          <w:szCs w:val="28"/>
        </w:rPr>
        <w:t xml:space="preserve"> </w:t>
      </w:r>
      <w:r w:rsidRPr="00AE130A">
        <w:rPr>
          <w:rFonts w:ascii="Arial" w:hAnsi="Arial" w:cs="Arial"/>
          <w:b/>
          <w:bCs/>
          <w:color w:val="181818"/>
          <w:sz w:val="28"/>
          <w:szCs w:val="28"/>
        </w:rPr>
        <w:t>Lorrain</w:t>
      </w:r>
      <w:r w:rsidRPr="00AE130A">
        <w:rPr>
          <w:rFonts w:ascii="Arial" w:hAnsi="Arial" w:cs="Arial"/>
          <w:color w:val="181818"/>
          <w:sz w:val="28"/>
          <w:szCs w:val="28"/>
        </w:rPr>
        <w:t xml:space="preserve">, </w:t>
      </w:r>
      <w:r w:rsidRPr="00AE130A">
        <w:rPr>
          <w:rFonts w:ascii="Arial" w:hAnsi="Arial" w:cs="Arial"/>
          <w:b/>
          <w:bCs/>
          <w:color w:val="181818"/>
          <w:sz w:val="28"/>
          <w:szCs w:val="28"/>
        </w:rPr>
        <w:t>Gaspar Van Wittel</w:t>
      </w:r>
      <w:r w:rsidRPr="00AE130A">
        <w:rPr>
          <w:rFonts w:ascii="Arial" w:hAnsi="Arial" w:cs="Arial"/>
          <w:color w:val="181818"/>
          <w:sz w:val="28"/>
          <w:szCs w:val="28"/>
        </w:rPr>
        <w:t xml:space="preserve"> (1653-1736), </w:t>
      </w:r>
      <w:r w:rsidRPr="00AE130A">
        <w:rPr>
          <w:rFonts w:ascii="Arial" w:hAnsi="Arial" w:cs="Arial"/>
          <w:b/>
          <w:bCs/>
          <w:color w:val="181818"/>
          <w:sz w:val="28"/>
          <w:szCs w:val="28"/>
        </w:rPr>
        <w:t>Felice Giani</w:t>
      </w:r>
      <w:r w:rsidRPr="00AE130A">
        <w:rPr>
          <w:rFonts w:ascii="Arial" w:hAnsi="Arial" w:cs="Arial"/>
          <w:color w:val="181818"/>
          <w:sz w:val="28"/>
          <w:szCs w:val="28"/>
        </w:rPr>
        <w:t xml:space="preserve"> (1758-1823) </w:t>
      </w:r>
      <w:r w:rsidRPr="00AE130A">
        <w:rPr>
          <w:rFonts w:ascii="Arial" w:hAnsi="Arial" w:cs="Arial"/>
          <w:b/>
          <w:bCs/>
          <w:color w:val="181818"/>
          <w:sz w:val="28"/>
          <w:szCs w:val="28"/>
        </w:rPr>
        <w:t>Pierre Henry De</w:t>
      </w:r>
      <w:r w:rsidRPr="00AE130A">
        <w:rPr>
          <w:rFonts w:ascii="Arial" w:hAnsi="Arial" w:cs="Arial"/>
          <w:color w:val="181818"/>
          <w:sz w:val="28"/>
          <w:szCs w:val="28"/>
        </w:rPr>
        <w:t xml:space="preserve"> </w:t>
      </w:r>
      <w:r w:rsidRPr="00AE130A">
        <w:rPr>
          <w:rFonts w:ascii="Arial" w:hAnsi="Arial" w:cs="Arial"/>
          <w:b/>
          <w:bCs/>
          <w:color w:val="181818"/>
          <w:sz w:val="28"/>
          <w:szCs w:val="28"/>
        </w:rPr>
        <w:lastRenderedPageBreak/>
        <w:t>Valenciennes</w:t>
      </w:r>
      <w:r w:rsidRPr="00AE130A">
        <w:rPr>
          <w:rFonts w:ascii="Arial" w:hAnsi="Arial" w:cs="Arial"/>
          <w:color w:val="181818"/>
          <w:sz w:val="28"/>
          <w:szCs w:val="28"/>
        </w:rPr>
        <w:t xml:space="preserve"> (1750-1819), </w:t>
      </w:r>
      <w:r w:rsidRPr="00AE130A">
        <w:rPr>
          <w:rFonts w:ascii="Arial" w:hAnsi="Arial" w:cs="Arial"/>
          <w:b/>
          <w:bCs/>
          <w:color w:val="181818"/>
          <w:sz w:val="28"/>
          <w:szCs w:val="28"/>
        </w:rPr>
        <w:t>Teodoro Duclere</w:t>
      </w:r>
      <w:r w:rsidRPr="00AE130A">
        <w:rPr>
          <w:rFonts w:ascii="Arial" w:hAnsi="Arial" w:cs="Arial"/>
          <w:color w:val="181818"/>
          <w:sz w:val="28"/>
          <w:szCs w:val="28"/>
        </w:rPr>
        <w:t xml:space="preserve"> (1812-1867), </w:t>
      </w:r>
      <w:r w:rsidRPr="00AE130A">
        <w:rPr>
          <w:rFonts w:ascii="Arial" w:hAnsi="Arial" w:cs="Arial"/>
          <w:b/>
          <w:bCs/>
          <w:color w:val="181818"/>
          <w:sz w:val="28"/>
          <w:szCs w:val="28"/>
        </w:rPr>
        <w:t>Walter Crane</w:t>
      </w:r>
      <w:r w:rsidRPr="00AE130A">
        <w:rPr>
          <w:rFonts w:ascii="Arial" w:hAnsi="Arial" w:cs="Arial"/>
          <w:color w:val="181818"/>
          <w:sz w:val="28"/>
          <w:szCs w:val="28"/>
        </w:rPr>
        <w:t xml:space="preserve"> (1845-1915), con l’interpretazione di due artisti contemporanei, dai linguaggi e mezzi espressivi diversi, che ci inducono a meditare su come il paesaggio, nelle sue diverse forme e configurazioni, sia stato e sia così rilevante nella vita di ciascuno di noi.</w:t>
      </w:r>
    </w:p>
    <w:p w:rsidR="007A46C8" w:rsidRPr="00AE130A" w:rsidRDefault="00AE130A" w:rsidP="00AE130A">
      <w:pPr>
        <w:spacing w:line="360" w:lineRule="auto"/>
        <w:rPr>
          <w:sz w:val="28"/>
          <w:szCs w:val="28"/>
        </w:rPr>
      </w:pPr>
      <w:r w:rsidRPr="00AE130A">
        <w:rPr>
          <w:rFonts w:ascii="Arial" w:hAnsi="Arial" w:cs="Arial"/>
          <w:color w:val="181818"/>
          <w:sz w:val="28"/>
          <w:szCs w:val="28"/>
        </w:rPr>
        <w:t>A Karmen Corak e Pierluigi Isola va il nostro ringraziamento per la generosità e la disponibilità dimostrateci per l’organizzazione di questo evento legato alla giornata dedicata alla celebrazione del paesaggio, considerevole per lo stupore e l’intensità creativa e grazie a Lorenzo D’Orazio, giovane pianista romano, per avere suonato e registrato il brano di John Cage diffuso nelle sale espositive.</w:t>
      </w:r>
    </w:p>
    <w:sectPr w:rsidR="007A46C8" w:rsidRPr="00AE130A"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30A"/>
    <w:rsid w:val="007A46C8"/>
    <w:rsid w:val="00AE130A"/>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2330</Characters>
  <Application>Microsoft Macintosh Word</Application>
  <DocSecurity>0</DocSecurity>
  <Lines>19</Lines>
  <Paragraphs>5</Paragraphs>
  <ScaleCrop>false</ScaleCrop>
  <Company/>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2017-04-10T21:54:00Z</dcterms:created>
  <dcterms:modified xsi:type="dcterms:W3CDTF">2017-04-10T21:55:00Z</dcterms:modified>
</cp:coreProperties>
</file>