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626"/>
          <w:sz w:val="32"/>
          <w:szCs w:val="32"/>
        </w:rPr>
      </w:pPr>
      <w:r>
        <w:rPr>
          <w:rFonts w:ascii="Arial" w:hAnsi="Arial" w:cs="Arial"/>
          <w:b/>
          <w:bCs/>
          <w:i/>
          <w:iCs/>
          <w:color w:val="262626"/>
          <w:sz w:val="38"/>
          <w:szCs w:val="38"/>
        </w:rPr>
        <w:t xml:space="preserve">The April </w:t>
      </w:r>
      <w:proofErr w:type="spellStart"/>
      <w:r>
        <w:rPr>
          <w:rFonts w:ascii="Arial" w:hAnsi="Arial" w:cs="Arial"/>
          <w:b/>
          <w:bCs/>
          <w:i/>
          <w:iCs/>
          <w:color w:val="262626"/>
          <w:sz w:val="38"/>
          <w:szCs w:val="38"/>
        </w:rPr>
        <w:t>Theses</w:t>
      </w:r>
      <w:proofErr w:type="spellEnd"/>
      <w:r>
        <w:rPr>
          <w:rFonts w:ascii="Arial" w:hAnsi="Arial" w:cs="Arial"/>
          <w:b/>
          <w:bCs/>
          <w:color w:val="262626"/>
          <w:sz w:val="38"/>
          <w:szCs w:val="38"/>
        </w:rPr>
        <w:t>, </w:t>
      </w:r>
      <w:r>
        <w:rPr>
          <w:rFonts w:ascii="Arial" w:hAnsi="Arial" w:cs="Arial"/>
          <w:b/>
          <w:bCs/>
          <w:i/>
          <w:iCs/>
          <w:color w:val="262626"/>
          <w:sz w:val="38"/>
          <w:szCs w:val="38"/>
        </w:rPr>
        <w:t>In The Russian East</w:t>
      </w:r>
      <w:r>
        <w:rPr>
          <w:rFonts w:ascii="Arial" w:hAnsi="Arial" w:cs="Arial"/>
          <w:b/>
          <w:bCs/>
          <w:color w:val="262626"/>
          <w:sz w:val="38"/>
          <w:szCs w:val="38"/>
        </w:rPr>
        <w:t>, </w:t>
      </w:r>
      <w:proofErr w:type="spellStart"/>
      <w:r>
        <w:rPr>
          <w:rFonts w:ascii="Arial" w:hAnsi="Arial" w:cs="Arial"/>
          <w:b/>
          <w:bCs/>
          <w:i/>
          <w:iCs/>
          <w:color w:val="262626"/>
          <w:sz w:val="38"/>
          <w:szCs w:val="38"/>
        </w:rPr>
        <w:t>Ritual</w:t>
      </w:r>
      <w:proofErr w:type="spellEnd"/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>La </w:t>
      </w:r>
      <w:r>
        <w:rPr>
          <w:rFonts w:ascii="Arial" w:hAnsi="Arial" w:cs="Arial"/>
          <w:b/>
          <w:bCs/>
          <w:color w:val="262626"/>
          <w:sz w:val="32"/>
          <w:szCs w:val="32"/>
        </w:rPr>
        <w:t>Galleria del Cembalo</w:t>
      </w:r>
      <w:r>
        <w:rPr>
          <w:rFonts w:ascii="Arial" w:hAnsi="Arial" w:cs="Arial"/>
          <w:color w:val="262626"/>
          <w:sz w:val="32"/>
          <w:szCs w:val="32"/>
        </w:rPr>
        <w:t xml:space="preserve">, in occasione del centenario della rivoluzione d’ottobre, propone tre mostre distinte, due di Davide Monteleone e una di Danila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Tkachenko</w:t>
      </w:r>
      <w:proofErr w:type="spellEnd"/>
      <w:r>
        <w:rPr>
          <w:rFonts w:ascii="Arial" w:hAnsi="Arial" w:cs="Arial"/>
          <w:color w:val="262626"/>
          <w:sz w:val="32"/>
          <w:szCs w:val="32"/>
        </w:rPr>
        <w:t>, dedicate all’anniversario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>Dal 22 settem</w:t>
      </w:r>
      <w:bookmarkStart w:id="0" w:name="_GoBack"/>
      <w:bookmarkEnd w:id="0"/>
      <w:r>
        <w:rPr>
          <w:rFonts w:ascii="Arial" w:hAnsi="Arial" w:cs="Arial"/>
          <w:color w:val="262626"/>
          <w:sz w:val="32"/>
          <w:szCs w:val="32"/>
        </w:rPr>
        <w:t>bre all’11 novembre, presso la Galleria del Cembalo (Palazzo Borghese) a Roma, le mostre </w:t>
      </w:r>
      <w:r>
        <w:rPr>
          <w:rFonts w:ascii="Arial" w:hAnsi="Arial" w:cs="Arial"/>
          <w:i/>
          <w:iCs/>
          <w:color w:val="262626"/>
          <w:sz w:val="32"/>
          <w:szCs w:val="32"/>
        </w:rPr>
        <w:t xml:space="preserve">The April </w:t>
      </w:r>
      <w:proofErr w:type="spellStart"/>
      <w:r>
        <w:rPr>
          <w:rFonts w:ascii="Arial" w:hAnsi="Arial" w:cs="Arial"/>
          <w:i/>
          <w:iCs/>
          <w:color w:val="262626"/>
          <w:sz w:val="32"/>
          <w:szCs w:val="32"/>
        </w:rPr>
        <w:t>Theses</w:t>
      </w:r>
      <w:proofErr w:type="spellEnd"/>
      <w:r>
        <w:rPr>
          <w:rFonts w:ascii="Arial" w:hAnsi="Arial" w:cs="Arial"/>
          <w:i/>
          <w:iCs/>
          <w:color w:val="262626"/>
          <w:sz w:val="32"/>
          <w:szCs w:val="32"/>
        </w:rPr>
        <w:t> 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e</w:t>
      </w:r>
      <w:r>
        <w:rPr>
          <w:rFonts w:ascii="Arial" w:hAnsi="Arial" w:cs="Arial"/>
          <w:i/>
          <w:iCs/>
          <w:color w:val="262626"/>
          <w:sz w:val="32"/>
          <w:szCs w:val="32"/>
        </w:rPr>
        <w:t>The</w:t>
      </w:r>
      <w:proofErr w:type="spellEnd"/>
      <w:r>
        <w:rPr>
          <w:rFonts w:ascii="Arial" w:hAnsi="Arial" w:cs="Arial"/>
          <w:i/>
          <w:iCs/>
          <w:color w:val="262626"/>
          <w:sz w:val="32"/>
          <w:szCs w:val="32"/>
        </w:rPr>
        <w:t xml:space="preserve"> Russian East </w:t>
      </w:r>
      <w:r>
        <w:rPr>
          <w:rFonts w:ascii="Arial" w:hAnsi="Arial" w:cs="Arial"/>
          <w:color w:val="262626"/>
          <w:sz w:val="32"/>
          <w:szCs w:val="32"/>
        </w:rPr>
        <w:t>di Davide Monteleone, </w:t>
      </w:r>
      <w:proofErr w:type="spellStart"/>
      <w:r>
        <w:rPr>
          <w:rFonts w:ascii="Arial" w:hAnsi="Arial" w:cs="Arial"/>
          <w:i/>
          <w:iCs/>
          <w:color w:val="262626"/>
          <w:sz w:val="32"/>
          <w:szCs w:val="32"/>
        </w:rPr>
        <w:t>Ritual</w:t>
      </w:r>
      <w:proofErr w:type="spellEnd"/>
      <w:r>
        <w:rPr>
          <w:rFonts w:ascii="Arial" w:hAnsi="Arial" w:cs="Arial"/>
          <w:i/>
          <w:iCs/>
          <w:color w:val="262626"/>
          <w:sz w:val="32"/>
          <w:szCs w:val="32"/>
        </w:rPr>
        <w:t> </w:t>
      </w:r>
      <w:r>
        <w:rPr>
          <w:rFonts w:ascii="Arial" w:hAnsi="Arial" w:cs="Arial"/>
          <w:color w:val="262626"/>
          <w:sz w:val="32"/>
          <w:szCs w:val="32"/>
        </w:rPr>
        <w:t xml:space="preserve">di Danila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Tkachenko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- in maniera apparentemente documentali le prime due, visionario-metaforica la terza - saranno dedicate al ricordo della “Rivoluzione d’ottobre”.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b/>
          <w:bCs/>
          <w:color w:val="262626"/>
          <w:sz w:val="32"/>
          <w:szCs w:val="32"/>
        </w:rPr>
        <w:t>Davide Monteleone - </w:t>
      </w:r>
      <w:r>
        <w:rPr>
          <w:rFonts w:ascii="Arial" w:hAnsi="Arial" w:cs="Arial"/>
          <w:b/>
          <w:bCs/>
          <w:i/>
          <w:iCs/>
          <w:color w:val="262626"/>
          <w:sz w:val="32"/>
          <w:szCs w:val="32"/>
        </w:rPr>
        <w:t xml:space="preserve">The April </w:t>
      </w:r>
      <w:proofErr w:type="spellStart"/>
      <w:r>
        <w:rPr>
          <w:rFonts w:ascii="Arial" w:hAnsi="Arial" w:cs="Arial"/>
          <w:b/>
          <w:bCs/>
          <w:i/>
          <w:iCs/>
          <w:color w:val="262626"/>
          <w:sz w:val="32"/>
          <w:szCs w:val="32"/>
        </w:rPr>
        <w:t>Theses</w:t>
      </w:r>
      <w:proofErr w:type="spellEnd"/>
      <w:r>
        <w:rPr>
          <w:rFonts w:ascii="Arial" w:hAnsi="Arial" w:cs="Arial"/>
          <w:b/>
          <w:bCs/>
          <w:i/>
          <w:iCs/>
          <w:color w:val="262626"/>
          <w:sz w:val="32"/>
          <w:szCs w:val="32"/>
        </w:rPr>
        <w:t> </w:t>
      </w:r>
      <w:r>
        <w:rPr>
          <w:rFonts w:ascii="Arial" w:hAnsi="Arial" w:cs="Arial"/>
          <w:color w:val="262626"/>
          <w:sz w:val="32"/>
          <w:szCs w:val="32"/>
        </w:rPr>
        <w:t xml:space="preserve">Nel Marzo del 1917, Vladimir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Ilyich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Ulyanov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(Lenin), leader del partito rivoluzionario Bolscevico lasciò la Svizzera, dove era stato esiliato. Otto mesi dopo assunse la leadership di 160 milioni di persone occupando 1/6 della superficie abitata del globo. Il 9 aprile 1917, con il supporto delle autorità Tedesche, all’epoca in guerra con la Russia, tornò nel paese natio su un treno, attraverso Germania, Svezia e Finlandia fino a raggiungere la Stazione Finlandese di San Pietroburgo il 16 aprile dove, dopo un decennio in esilio, prese in mano le redini della Rivoluzione Russa.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 xml:space="preserve">Un mese prima, lo Zar Nicola II era stato estromesso dal potere quando le Armate Russe si erano unite alla rivolta dei lavoratori a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Pietrogrado</w:t>
      </w:r>
      <w:proofErr w:type="spellEnd"/>
      <w:r>
        <w:rPr>
          <w:rFonts w:ascii="Arial" w:hAnsi="Arial" w:cs="Arial"/>
          <w:color w:val="262626"/>
          <w:sz w:val="32"/>
          <w:szCs w:val="32"/>
        </w:rPr>
        <w:t>, la capitale russa. In un documento a punti, conosciuto come “Le Tesi di Aprile”, Lenin chiede il rovesciamento del governo provvisorio e delinea la strategia che, nei sette mesi successivi, porterà alla Rivoluzione d’ottobre e darà il potere ai Bolscevichi. 100 anni dopo, Davide Monteleone ricrea la cronologia delle due settimane di vita di Lenin prima degli eventi che hanno cambiato per sempre la Russia e il resto del mondo.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 xml:space="preserve">Alla ricerca del documento originale de “Le Tesi di Aprile”, Monteleone ricostruisce, e a volte ricrea, in un viaggio fisicamente reale, il viaggio epico di Lenin, inspirato dai documenti d’archivio trovati al R.G.A.S.P.I. (Russian State Archive of Soviet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Political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History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) e a libri storici che includono “To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Finland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Station” di Edmund Wilson e “The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Sealed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Train” di Michael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Pearson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. Il risultato finale è una collezione di paesaggi contemporanei, fotografia </w:t>
      </w:r>
      <w:r>
        <w:rPr>
          <w:rFonts w:ascii="Arial" w:hAnsi="Arial" w:cs="Arial"/>
          <w:color w:val="262626"/>
          <w:sz w:val="32"/>
          <w:szCs w:val="32"/>
        </w:rPr>
        <w:lastRenderedPageBreak/>
        <w:t xml:space="preserve">forense di archivio e auto-ritratti posati che ripercorrono un viaggio nel tempo e nello spazio. La mostra è composta da una selezione di stampe dal libro “The April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Theses</w:t>
      </w:r>
      <w:proofErr w:type="spellEnd"/>
      <w:r>
        <w:rPr>
          <w:rFonts w:ascii="Arial" w:hAnsi="Arial" w:cs="Arial"/>
          <w:color w:val="262626"/>
          <w:sz w:val="32"/>
          <w:szCs w:val="32"/>
        </w:rPr>
        <w:t>” (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Postcart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2017) presentata sotto forma di installazione.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b/>
          <w:bCs/>
          <w:color w:val="262626"/>
          <w:sz w:val="32"/>
          <w:szCs w:val="32"/>
        </w:rPr>
        <w:t>Davide Monteleone - </w:t>
      </w:r>
      <w:r>
        <w:rPr>
          <w:rFonts w:ascii="Arial" w:hAnsi="Arial" w:cs="Arial"/>
          <w:b/>
          <w:bCs/>
          <w:i/>
          <w:iCs/>
          <w:color w:val="262626"/>
          <w:sz w:val="32"/>
          <w:szCs w:val="32"/>
        </w:rPr>
        <w:t>In the Russian East </w:t>
      </w:r>
      <w:r>
        <w:rPr>
          <w:rFonts w:ascii="Arial" w:hAnsi="Arial" w:cs="Arial"/>
          <w:color w:val="262626"/>
          <w:sz w:val="32"/>
          <w:szCs w:val="32"/>
        </w:rPr>
        <w:t xml:space="preserve">Ispirato al capolavoro di Richard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Avedon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“In the American West” (1985) e al continuo fascino della Transiberiana, Monteleone guarda alla Russia per interrogarsi sul futuro del paese. Emulando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Avedon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nella tecnica e nei contenuti, Monteleone crea un parallelismo geografico e temporale tra Stati Uniti e Russia in un momento storico incerto nelle relazioni tra i due paesi. Come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Avedon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, si concentra sulle persone semplici, lontane dai centri del potere e, come moderni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Oblomov</w:t>
      </w:r>
      <w:proofErr w:type="spellEnd"/>
      <w:r>
        <w:rPr>
          <w:rFonts w:ascii="Arial" w:hAnsi="Arial" w:cs="Arial"/>
          <w:color w:val="262626"/>
          <w:sz w:val="32"/>
          <w:szCs w:val="32"/>
        </w:rPr>
        <w:t>, disinteressati ad esso. I protagonisti dei ritratti (discendenti di cacciatori d’oro e di pellicce, figli di sopravvissuti ai gulag, Ebrei dell’Israele Siberiana e, persino, eredi di imperi millenari come i Buriati o i mongoli di Gengis Khan) diventano icone della Russia contemporanea. 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 xml:space="preserve">Le mostre “The April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Theses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” e “In the Russian East” sono realizzate in collaborazione con la galleria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Heillandi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di Lugano.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626"/>
          <w:sz w:val="26"/>
          <w:szCs w:val="26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b/>
          <w:bCs/>
          <w:color w:val="262626"/>
          <w:sz w:val="26"/>
          <w:szCs w:val="26"/>
        </w:rPr>
        <w:t>Davide Monteleone </w:t>
      </w:r>
      <w:r>
        <w:rPr>
          <w:rFonts w:ascii="Arial" w:hAnsi="Arial" w:cs="Arial"/>
          <w:color w:val="262626"/>
          <w:sz w:val="26"/>
          <w:szCs w:val="26"/>
        </w:rPr>
        <w:t xml:space="preserve">(1974) è un artista e un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visual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journalist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che lavora a progetti indipendenti a lungo termine, usando la fotografia, il video e la scrittura. Si è dedicato allo studio di tematiche sociali, esplorando il rapporto tra potere e individui. Noto per il suo interesse specifico per i paesi post-sovietici, ha pubblicato quattro libri su questo argomento: </w:t>
      </w:r>
      <w:proofErr w:type="spellStart"/>
      <w:r>
        <w:rPr>
          <w:rFonts w:ascii="Arial" w:hAnsi="Arial" w:cs="Arial"/>
          <w:i/>
          <w:iCs/>
          <w:color w:val="262626"/>
          <w:sz w:val="26"/>
          <w:szCs w:val="26"/>
        </w:rPr>
        <w:t>Dusha</w:t>
      </w:r>
      <w:proofErr w:type="spellEnd"/>
      <w:r>
        <w:rPr>
          <w:rFonts w:ascii="Arial" w:hAnsi="Arial" w:cs="Arial"/>
          <w:i/>
          <w:iCs/>
          <w:color w:val="262626"/>
          <w:sz w:val="26"/>
          <w:szCs w:val="26"/>
        </w:rPr>
        <w:t>. Anima Russa </w:t>
      </w:r>
      <w:r>
        <w:rPr>
          <w:rFonts w:ascii="Arial" w:hAnsi="Arial" w:cs="Arial"/>
          <w:color w:val="262626"/>
          <w:sz w:val="26"/>
          <w:szCs w:val="26"/>
        </w:rPr>
        <w:t>(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Postcart</w:t>
      </w:r>
      <w:proofErr w:type="spellEnd"/>
      <w:r>
        <w:rPr>
          <w:rFonts w:ascii="Arial" w:hAnsi="Arial" w:cs="Arial"/>
          <w:color w:val="262626"/>
          <w:sz w:val="26"/>
          <w:szCs w:val="26"/>
        </w:rPr>
        <w:t>, 2007), </w:t>
      </w:r>
      <w:r>
        <w:rPr>
          <w:rFonts w:ascii="Arial" w:hAnsi="Arial" w:cs="Arial"/>
          <w:i/>
          <w:iCs/>
          <w:color w:val="262626"/>
          <w:sz w:val="26"/>
          <w:szCs w:val="26"/>
        </w:rPr>
        <w:t>La Linea Inesistente </w:t>
      </w:r>
      <w:r>
        <w:rPr>
          <w:rFonts w:ascii="Arial" w:hAnsi="Arial" w:cs="Arial"/>
          <w:color w:val="262626"/>
          <w:sz w:val="26"/>
          <w:szCs w:val="26"/>
        </w:rPr>
        <w:t>(Contrasto, 2009), </w:t>
      </w:r>
      <w:proofErr w:type="spellStart"/>
      <w:r>
        <w:rPr>
          <w:rFonts w:ascii="Arial" w:hAnsi="Arial" w:cs="Arial"/>
          <w:i/>
          <w:iCs/>
          <w:color w:val="262626"/>
          <w:sz w:val="26"/>
          <w:szCs w:val="26"/>
        </w:rPr>
        <w:t>Red</w:t>
      </w:r>
      <w:proofErr w:type="spellEnd"/>
      <w:r>
        <w:rPr>
          <w:rFonts w:ascii="Arial" w:hAnsi="Arial" w:cs="Arial"/>
          <w:i/>
          <w:iCs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i/>
          <w:iCs/>
          <w:color w:val="262626"/>
          <w:sz w:val="26"/>
          <w:szCs w:val="26"/>
        </w:rPr>
        <w:t>Thistle</w:t>
      </w:r>
      <w:proofErr w:type="spellEnd"/>
      <w:r>
        <w:rPr>
          <w:rFonts w:ascii="Arial" w:hAnsi="Arial" w:cs="Arial"/>
          <w:i/>
          <w:iCs/>
          <w:color w:val="262626"/>
          <w:sz w:val="26"/>
          <w:szCs w:val="26"/>
        </w:rPr>
        <w:t> </w:t>
      </w:r>
      <w:r>
        <w:rPr>
          <w:rFonts w:ascii="Arial" w:hAnsi="Arial" w:cs="Arial"/>
          <w:color w:val="262626"/>
          <w:sz w:val="26"/>
          <w:szCs w:val="26"/>
        </w:rPr>
        <w:t>(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Dewi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Lewis/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Kehrer</w:t>
      </w:r>
      <w:proofErr w:type="spellEnd"/>
      <w:r>
        <w:rPr>
          <w:rFonts w:ascii="Arial" w:hAnsi="Arial" w:cs="Arial"/>
          <w:color w:val="262626"/>
          <w:sz w:val="26"/>
          <w:szCs w:val="26"/>
        </w:rPr>
        <w:t>/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Actes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Sud/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Peliti</w:t>
      </w:r>
      <w:proofErr w:type="spellEnd"/>
      <w:r>
        <w:rPr>
          <w:rFonts w:ascii="Arial" w:hAnsi="Arial" w:cs="Arial"/>
          <w:color w:val="262626"/>
          <w:sz w:val="26"/>
          <w:szCs w:val="26"/>
        </w:rPr>
        <w:t>, 2012) e </w:t>
      </w:r>
      <w:proofErr w:type="spellStart"/>
      <w:r>
        <w:rPr>
          <w:rFonts w:ascii="Arial" w:hAnsi="Arial" w:cs="Arial"/>
          <w:i/>
          <w:iCs/>
          <w:color w:val="262626"/>
          <w:sz w:val="26"/>
          <w:szCs w:val="26"/>
        </w:rPr>
        <w:t>Spasibo</w:t>
      </w:r>
      <w:proofErr w:type="spellEnd"/>
      <w:r>
        <w:rPr>
          <w:rFonts w:ascii="Arial" w:hAnsi="Arial" w:cs="Arial"/>
          <w:i/>
          <w:iCs/>
          <w:color w:val="262626"/>
          <w:sz w:val="26"/>
          <w:szCs w:val="26"/>
        </w:rPr>
        <w:t> </w:t>
      </w:r>
      <w:r>
        <w:rPr>
          <w:rFonts w:ascii="Arial" w:hAnsi="Arial" w:cs="Arial"/>
          <w:color w:val="262626"/>
          <w:sz w:val="26"/>
          <w:szCs w:val="26"/>
        </w:rPr>
        <w:t>(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Kehrer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, 2013). I suoi progetti gli hanno portato numerosi premi e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grant</w:t>
      </w:r>
      <w:proofErr w:type="spellEnd"/>
      <w:r>
        <w:rPr>
          <w:rFonts w:ascii="Arial" w:hAnsi="Arial" w:cs="Arial"/>
          <w:color w:val="262626"/>
          <w:sz w:val="26"/>
          <w:szCs w:val="26"/>
        </w:rPr>
        <w:t>, tra cui diversi World Press Photo, l’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Aftermath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Grant, lo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European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Publishers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Award for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Photography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e il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Carmignac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Photojournalism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Award. Contribuisce regolarmente alle principali pubblicazioni in tutto il mondo e i suoi progetti sono stati presentati come installazioni, mostre e proiezioni a festival e gallerie in tutto il mondo, tra cui il Nobel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Peace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Center di Oslo, la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Saatchi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Gallery di Londra, la MEP di Parigi e il Palazzo delle Esposizioni di Roma. È impegnato in attività educative, tiene regolarmente lezioni e seminari all’università e workshop internazionali.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626"/>
          <w:sz w:val="32"/>
          <w:szCs w:val="3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b/>
          <w:bCs/>
          <w:color w:val="262626"/>
          <w:sz w:val="32"/>
          <w:szCs w:val="32"/>
        </w:rPr>
        <w:t>Danila </w:t>
      </w:r>
      <w:proofErr w:type="spellStart"/>
      <w:r>
        <w:rPr>
          <w:rFonts w:ascii="Arial" w:hAnsi="Arial" w:cs="Arial"/>
          <w:b/>
          <w:bCs/>
          <w:color w:val="262626"/>
          <w:sz w:val="32"/>
          <w:szCs w:val="32"/>
        </w:rPr>
        <w:t>Tkachenko</w:t>
      </w:r>
      <w:proofErr w:type="spellEnd"/>
      <w:r>
        <w:rPr>
          <w:rFonts w:ascii="Arial" w:hAnsi="Arial" w:cs="Arial"/>
          <w:b/>
          <w:bCs/>
          <w:color w:val="262626"/>
          <w:sz w:val="32"/>
          <w:szCs w:val="32"/>
        </w:rPr>
        <w:t xml:space="preserve"> - </w:t>
      </w:r>
      <w:proofErr w:type="spellStart"/>
      <w:r>
        <w:rPr>
          <w:rFonts w:ascii="Arial" w:hAnsi="Arial" w:cs="Arial"/>
          <w:b/>
          <w:bCs/>
          <w:i/>
          <w:iCs/>
          <w:color w:val="262626"/>
          <w:sz w:val="32"/>
          <w:szCs w:val="32"/>
        </w:rPr>
        <w:t>Ritual</w:t>
      </w:r>
      <w:proofErr w:type="spellEnd"/>
      <w:r>
        <w:rPr>
          <w:rFonts w:ascii="Arial" w:hAnsi="Arial" w:cs="Arial"/>
          <w:b/>
          <w:bCs/>
          <w:i/>
          <w:iCs/>
          <w:color w:val="262626"/>
          <w:sz w:val="32"/>
          <w:szCs w:val="32"/>
        </w:rPr>
        <w:t> </w:t>
      </w:r>
      <w:r>
        <w:rPr>
          <w:rFonts w:ascii="Arial" w:hAnsi="Arial" w:cs="Arial"/>
          <w:color w:val="262626"/>
          <w:sz w:val="32"/>
          <w:szCs w:val="32"/>
        </w:rPr>
        <w:t xml:space="preserve">Il nuovo progetto di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DanilaTkachenko</w:t>
      </w:r>
      <w:proofErr w:type="spellEnd"/>
      <w:r>
        <w:rPr>
          <w:rFonts w:ascii="Arial" w:hAnsi="Arial" w:cs="Arial"/>
          <w:color w:val="262626"/>
          <w:sz w:val="32"/>
          <w:szCs w:val="32"/>
        </w:rPr>
        <w:t xml:space="preserve"> nasce da una riflessione sul centenario dalla Rivoluzione Russa (1917-2017). L’autore rende tangibile e concreta la metafora di “bruciare tutto ciò che è caro” e, letteralmente, brucia i simboli dell'era che si lascia alle spalle, creando spazio libero per un futuro promettente.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 xml:space="preserve">Già gli artisti delle avanguardie all'inizio del ventesimo secolo misero in risalto e anticiparono i drammatici cambiamenti che si venivano a creare nella struttura sociale. Da ciò, la necessità di costruire il futuro sulla base di nuovi ideali: per raggiungere questa utopia, sembra suggerire </w:t>
      </w:r>
      <w:proofErr w:type="spellStart"/>
      <w:r>
        <w:rPr>
          <w:rFonts w:ascii="Arial" w:hAnsi="Arial" w:cs="Arial"/>
          <w:color w:val="262626"/>
          <w:sz w:val="32"/>
          <w:szCs w:val="32"/>
        </w:rPr>
        <w:t>Tkachenko</w:t>
      </w:r>
      <w:proofErr w:type="spellEnd"/>
      <w:r>
        <w:rPr>
          <w:rFonts w:ascii="Arial" w:hAnsi="Arial" w:cs="Arial"/>
          <w:color w:val="262626"/>
          <w:sz w:val="32"/>
          <w:szCs w:val="32"/>
        </w:rPr>
        <w:t>, è indispensabile bruciare, cancellare, tutto ciò che è statico, legato al mondo precedente e che ostacola il nuovo modo di pensare.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color w:val="262626"/>
          <w:sz w:val="32"/>
          <w:szCs w:val="32"/>
        </w:rPr>
        <w:t>Le strutture in fiamme sono fotografate in zone rurali, in un iconico “campo libero”, e la luce del crepuscolo lascia a chi osserva la domanda irrisolta se si tratti del tramonto del vecchio mondo o dell'alba della nuova era. Otto immagini sono presentate in anteprima assoluta.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262626"/>
          <w:sz w:val="26"/>
          <w:szCs w:val="26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Arial" w:hAnsi="Arial" w:cs="Arial"/>
          <w:b/>
          <w:bCs/>
          <w:color w:val="262626"/>
          <w:sz w:val="26"/>
          <w:szCs w:val="26"/>
        </w:rPr>
        <w:t xml:space="preserve">Danila </w:t>
      </w:r>
      <w:proofErr w:type="spellStart"/>
      <w:r>
        <w:rPr>
          <w:rFonts w:ascii="Arial" w:hAnsi="Arial" w:cs="Arial"/>
          <w:b/>
          <w:bCs/>
          <w:color w:val="262626"/>
          <w:sz w:val="26"/>
          <w:szCs w:val="26"/>
        </w:rPr>
        <w:t>Tkachenko</w:t>
      </w:r>
      <w:proofErr w:type="spellEnd"/>
      <w:r>
        <w:rPr>
          <w:rFonts w:ascii="Arial" w:hAnsi="Arial" w:cs="Arial"/>
          <w:b/>
          <w:bCs/>
          <w:color w:val="262626"/>
          <w:sz w:val="26"/>
          <w:szCs w:val="26"/>
        </w:rPr>
        <w:t> </w:t>
      </w:r>
      <w:r>
        <w:rPr>
          <w:rFonts w:ascii="Arial" w:hAnsi="Arial" w:cs="Arial"/>
          <w:color w:val="262626"/>
          <w:sz w:val="26"/>
          <w:szCs w:val="26"/>
        </w:rPr>
        <w:t xml:space="preserve">è nato a Mosca nel 1989. Dopo un lungo viaggio in India si appassiona alla fotografia e si iscrive alla Scuola di fotografia e arti multimediali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Rodchenko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, a Mosca. Il suo primo lavoro, Escape, dedicato agli eremiti nella natura selvatica russa, riceve il plauso delle giurie internazionali e viene pubblicato nel 2014 in un volume edito da Peperoni Books. Nel 2015 esce il volume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Restricted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Areas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, edito in Italia da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Peliti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Associati, promotore del premio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European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Publishers</w:t>
      </w:r>
      <w:proofErr w:type="spellEnd"/>
      <w:r>
        <w:rPr>
          <w:rFonts w:ascii="Arial" w:hAnsi="Arial" w:cs="Arial"/>
          <w:color w:val="262626"/>
          <w:sz w:val="26"/>
          <w:szCs w:val="26"/>
        </w:rPr>
        <w:t xml:space="preserve"> Award for </w:t>
      </w:r>
      <w:proofErr w:type="spellStart"/>
      <w:r>
        <w:rPr>
          <w:rFonts w:ascii="Arial" w:hAnsi="Arial" w:cs="Arial"/>
          <w:color w:val="262626"/>
          <w:sz w:val="26"/>
          <w:szCs w:val="26"/>
        </w:rPr>
        <w:t>Photography</w:t>
      </w:r>
      <w:proofErr w:type="spellEnd"/>
      <w:r>
        <w:rPr>
          <w:rFonts w:ascii="Arial" w:hAnsi="Arial" w:cs="Arial"/>
          <w:color w:val="262626"/>
          <w:sz w:val="26"/>
          <w:szCs w:val="26"/>
        </w:rPr>
        <w:t>.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b/>
          <w:bCs/>
          <w:color w:val="262626"/>
          <w:sz w:val="22"/>
          <w:szCs w:val="22"/>
        </w:rPr>
        <w:t> 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b/>
          <w:bCs/>
          <w:color w:val="262626"/>
          <w:sz w:val="32"/>
          <w:szCs w:val="32"/>
        </w:rPr>
      </w:pPr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 xml:space="preserve">The April </w:t>
      </w:r>
      <w:proofErr w:type="spellStart"/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>Theses</w:t>
      </w:r>
      <w:proofErr w:type="spellEnd"/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 xml:space="preserve">, In The Russian East, </w:t>
      </w:r>
      <w:proofErr w:type="spellStart"/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>Ritual</w:t>
      </w:r>
      <w:proofErr w:type="spellEnd"/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32"/>
          <w:szCs w:val="32"/>
        </w:rPr>
        <w:t>22 settembre / 11 novembre 2017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>inaugurazione giovedì 21 settembre - ore 18.30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>Galleria del Cembalo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b/>
          <w:bCs/>
          <w:color w:val="262626"/>
          <w:sz w:val="32"/>
          <w:szCs w:val="32"/>
        </w:rPr>
      </w:pPr>
      <w:r>
        <w:rPr>
          <w:rFonts w:ascii="Lucida Grande" w:hAnsi="Lucida Grande" w:cs="Lucida Grande"/>
          <w:color w:val="262626"/>
          <w:sz w:val="32"/>
          <w:szCs w:val="32"/>
        </w:rPr>
        <w:t>Largo della Fontanella di Borghese, 19 - Roma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b/>
          <w:bCs/>
          <w:color w:val="262626"/>
          <w:sz w:val="32"/>
          <w:szCs w:val="32"/>
        </w:rPr>
      </w:pPr>
      <w:r>
        <w:rPr>
          <w:rFonts w:ascii="Lucida Grande" w:hAnsi="Lucida Grande" w:cs="Lucida Grande"/>
          <w:color w:val="262626"/>
          <w:sz w:val="32"/>
          <w:szCs w:val="32"/>
        </w:rPr>
        <w:t>Tel. 06 83796619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b/>
          <w:bCs/>
          <w:color w:val="262626"/>
          <w:sz w:val="32"/>
          <w:szCs w:val="32"/>
        </w:rPr>
      </w:pPr>
      <w:r>
        <w:rPr>
          <w:rFonts w:ascii="Lucida Grande" w:hAnsi="Lucida Grande" w:cs="Lucida Grande"/>
          <w:b/>
          <w:bCs/>
          <w:color w:val="262626"/>
          <w:sz w:val="32"/>
          <w:szCs w:val="32"/>
        </w:rPr>
        <w:t>ORARIO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32"/>
          <w:szCs w:val="32"/>
        </w:rPr>
        <w:t>dal mercoledì al venerdì, dalle 15.30 alle 19.00</w:t>
      </w:r>
    </w:p>
    <w:p w:rsidR="00D05C7E" w:rsidRDefault="00D05C7E" w:rsidP="00D05C7E">
      <w:pPr>
        <w:widowControl w:val="0"/>
        <w:autoSpaceDE w:val="0"/>
        <w:autoSpaceDN w:val="0"/>
        <w:adjustRightInd w:val="0"/>
        <w:jc w:val="both"/>
        <w:rPr>
          <w:rFonts w:ascii="Lucida Grande" w:hAnsi="Lucida Grande" w:cs="Lucida Grande"/>
          <w:color w:val="262626"/>
          <w:sz w:val="22"/>
          <w:szCs w:val="22"/>
        </w:rPr>
      </w:pPr>
      <w:r>
        <w:rPr>
          <w:rFonts w:ascii="Lucida Grande" w:hAnsi="Lucida Grande" w:cs="Lucida Grande"/>
          <w:color w:val="262626"/>
          <w:sz w:val="32"/>
          <w:szCs w:val="32"/>
        </w:rPr>
        <w:t>sabato, dalle 11.00 alle 19.00</w:t>
      </w:r>
    </w:p>
    <w:p w:rsidR="000A73DB" w:rsidRDefault="00D05C7E" w:rsidP="00D05C7E">
      <w:pPr>
        <w:jc w:val="both"/>
      </w:pPr>
      <w:r>
        <w:rPr>
          <w:rFonts w:ascii="Lucida Grande" w:hAnsi="Lucida Grande" w:cs="Lucida Grande"/>
          <w:color w:val="262626"/>
          <w:sz w:val="32"/>
          <w:szCs w:val="32"/>
        </w:rPr>
        <w:t>oppure su appuntamento </w:t>
      </w:r>
    </w:p>
    <w:sectPr w:rsidR="000A73DB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7E"/>
    <w:rsid w:val="000A73DB"/>
    <w:rsid w:val="00D05C7E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962</Words>
  <Characters>5485</Characters>
  <Application>Microsoft Macintosh Word</Application>
  <DocSecurity>0</DocSecurity>
  <Lines>45</Lines>
  <Paragraphs>12</Paragraphs>
  <ScaleCrop>false</ScaleCrop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2017-09-06T21:41:00Z</dcterms:created>
  <dcterms:modified xsi:type="dcterms:W3CDTF">2017-09-06T21:42:00Z</dcterms:modified>
</cp:coreProperties>
</file>